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38" w:type="dxa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00" w:firstRow="0" w:lastRow="0" w:firstColumn="0" w:lastColumn="0" w:noHBand="0" w:noVBand="0"/>
      </w:tblPr>
      <w:tblGrid>
        <w:gridCol w:w="4606"/>
        <w:gridCol w:w="5031"/>
      </w:tblGrid>
      <w:tr>
        <w:tblPrEx/>
        <w:trPr>
          <w:trHeight w:val="4248"/>
        </w:trPr>
        <w:tc>
          <w:tcPr>
            <w:tcW w:w="4606" w:type="dxa"/>
            <w:textDirection w:val="lrTb"/>
            <w:noWrap w:val="false"/>
          </w:tcPr>
          <w:p>
            <w:pPr>
              <w:pStyle w:val="761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2765" cy="588645"/>
                      <wp:effectExtent l="0" t="0" r="0" b="0"/>
                      <wp:docPr id="3" name="Рисунок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2765" cy="5886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1.95pt;height:46.35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</w:p>
          <w:p>
            <w:pPr>
              <w:pStyle w:val="761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761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МИНИСТЕРСТВО ОБРАЗОВАНИЯ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761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ОРЕНБУРГСКОЙ ОБЛАСТИ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761"/>
              <w:jc w:val="center"/>
              <w:widowControl w:val="off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П Р И К А З</w:t>
            </w:r>
            <w:r>
              <w:rPr>
                <w:b/>
                <w:bCs/>
                <w:sz w:val="36"/>
                <w:szCs w:val="36"/>
              </w:rPr>
            </w:r>
          </w:p>
          <w:p>
            <w:pPr>
              <w:pStyle w:val="761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      <wp:simplePos x="0" y="0"/>
                      <wp:positionH relativeFrom="character">
                        <wp:posOffset>589432</wp:posOffset>
                      </wp:positionH>
                      <wp:positionV relativeFrom="line">
                        <wp:posOffset>122265</wp:posOffset>
                      </wp:positionV>
                      <wp:extent cx="2010410" cy="360045"/>
                      <wp:effectExtent l="0" t="0" r="0" b="0"/>
                      <wp:wrapNone/>
                      <wp:docPr id="4" name="Image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161736" name="Image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0409" cy="360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4;o:allowoverlap:true;o:allowincell:true;mso-position-horizontal-relative:char;margin-left:46.41pt;mso-position-horizontal:absolute;mso-position-vertical-relative:line;margin-top:9.63pt;mso-position-vertical:absolute;width:158.30pt;height:28.3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61"/>
              <w:jc w:val="center"/>
              <w:widowControl w:val="off"/>
            </w:pPr>
            <w:r>
              <w:t xml:space="preserve"> </w:t>
            </w:r>
            <w:r/>
            <w:r>
              <w:t xml:space="preserve"> </w:t>
            </w:r>
            <w:r/>
          </w:p>
          <w:p>
            <w:pPr>
              <w:pStyle w:val="761"/>
              <w:jc w:val="center"/>
              <w:widowControl w:val="off"/>
            </w:pPr>
            <w:r/>
            <w:r/>
          </w:p>
          <w:p>
            <w:pPr>
              <w:pStyle w:val="761"/>
              <w:jc w:val="center"/>
              <w:widowControl w:val="off"/>
            </w:pPr>
            <w:r>
              <w:t xml:space="preserve">г. Оренбург</w:t>
            </w:r>
            <w:r/>
          </w:p>
          <w:p>
            <w:pPr>
              <w:pStyle w:val="761"/>
              <w:jc w:val="center"/>
              <w:widowControl w:val="off"/>
            </w:pPr>
            <w:r/>
            <w:r/>
          </w:p>
          <w:tbl>
            <w:tblPr>
              <w:tblW w:w="3706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000" w:firstRow="0" w:lastRow="0" w:firstColumn="0" w:lastColumn="0" w:noHBand="0" w:noVBand="0"/>
            </w:tblPr>
            <w:tblGrid>
              <w:gridCol w:w="3706"/>
            </w:tblGrid>
            <w:tr>
              <w:tblPrEx/>
              <w:trPr>
                <w:trHeight w:val="935"/>
              </w:trPr>
              <w:tc>
                <w:tcPr>
                  <w:tcW w:w="3706" w:type="dxa"/>
                  <w:textDirection w:val="lrTb"/>
                  <w:noWrap w:val="false"/>
                </w:tcPr>
                <w:p>
                  <w:pPr>
                    <w:pStyle w:val="761"/>
                    <w:widowControl w:val="off"/>
                    <w:rPr>
                      <w:rFonts w:ascii="Tinos" w:hAnsi="Tinos" w:cs="Tinos"/>
                      <w:sz w:val="28"/>
                      <w:szCs w:val="28"/>
                    </w:rPr>
                  </w:pPr>
                  <w:r>
                    <w:rPr>
                      <w:rFonts w:ascii="Tinos" w:hAnsi="Tinos" w:eastAsia="Tinos" w:cs="Tinos"/>
                      <w:sz w:val="28"/>
                      <w:szCs w:val="28"/>
                    </w:rPr>
                    <w:t xml:space="preserve">О мерах по организации и проведению летних каникул обучающихся в 2026 году</w:t>
                  </w:r>
                  <w:r>
                    <w:rPr>
                      <w:rFonts w:ascii="Tinos" w:hAnsi="Tinos" w:cs="Tinos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761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031" w:type="dxa"/>
            <w:textDirection w:val="lrTb"/>
            <w:noWrap w:val="false"/>
          </w:tcPr>
          <w:p>
            <w:pPr>
              <w:pStyle w:val="761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761"/>
              <w:jc w:val="center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61"/>
        <w:ind w:firstLine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61"/>
        <w:ind w:firstLine="720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none"/>
        </w:rPr>
      </w:pPr>
      <w:r/>
      <w:bookmarkStart w:id="0" w:name="_Hlk166768335"/>
      <w:r>
        <w:rPr>
          <w:rFonts w:ascii="Tinos" w:hAnsi="Tinos" w:eastAsia="Tinos" w:cs="Tinos"/>
          <w:sz w:val="28"/>
        </w:rPr>
        <w:t xml:space="preserve">В соответствии с указом Губернатора Оренбургской области                  от 16.05.2025 </w:t>
      </w:r>
      <w:r>
        <w:rPr>
          <w:rFonts w:ascii="Tinos" w:hAnsi="Tinos" w:eastAsia="Tinos" w:cs="Tinos"/>
          <w:sz w:val="28"/>
          <w:szCs w:val="28"/>
        </w:rPr>
        <w:t xml:space="preserve">№ 241-ук «Об организации отдыха и оздоровления детей в Оренбургской области», в целях обеспечения полноценного отдыха, оздоровления и зан</w:t>
      </w:r>
      <w:bookmarkStart w:id="1" w:name="_GoBack"/>
      <w:r/>
      <w:bookmarkEnd w:id="1"/>
      <w:r>
        <w:rPr>
          <w:rFonts w:ascii="Tinos" w:hAnsi="Tinos" w:eastAsia="Tinos" w:cs="Tinos"/>
          <w:sz w:val="28"/>
          <w:szCs w:val="28"/>
        </w:rPr>
        <w:t xml:space="preserve">ятости детей и подростков при проведении летних каникул 2026 года </w:t>
      </w:r>
      <w:bookmarkEnd w:id="0"/>
      <w:r/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firstLine="720"/>
        <w:jc w:val="both"/>
        <w:spacing w:line="240" w:lineRule="auto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761"/>
        <w:jc w:val="both"/>
        <w:tabs>
          <w:tab w:val="clear" w:pos="708" w:leader="none"/>
          <w:tab w:val="left" w:pos="9356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 р и к а з ы в а ю:</w:t>
      </w:r>
      <w:r>
        <w:rPr>
          <w:sz w:val="28"/>
          <w:szCs w:val="28"/>
          <w:highlight w:val="none"/>
        </w:rPr>
      </w:r>
    </w:p>
    <w:p>
      <w:pPr>
        <w:pStyle w:val="761"/>
        <w:jc w:val="both"/>
        <w:tabs>
          <w:tab w:val="clear" w:pos="708" w:leader="none"/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1"/>
        <w:contextualSpacing/>
        <w:ind w:left="0" w:right="0" w:firstLine="709"/>
        <w:jc w:val="left"/>
        <w:spacing w:before="0" w:after="0" w:line="240" w:lineRule="auto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1. Отделу координации отдыха и оздоровления детей: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contextualSpacing/>
        <w:ind w:left="0" w:right="0" w:firstLine="0"/>
        <w:jc w:val="left"/>
        <w:spacing w:before="0" w:after="0" w:line="240" w:lineRule="auto"/>
        <w:tabs>
          <w:tab w:val="clear" w:pos="708" w:leader="none"/>
          <w:tab w:val="left" w:pos="709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1.1 Обеспечить: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761"/>
        <w:contextualSpacing/>
        <w:ind w:left="0" w:right="0" w:firstLine="709"/>
        <w:jc w:val="both"/>
        <w:spacing w:before="0" w:after="0" w:line="240" w:lineRule="auto"/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формирование и</w:t>
      </w:r>
      <w:r>
        <w:rPr>
          <w:rFonts w:ascii="Tinos" w:hAnsi="Tinos" w:eastAsia="Tinos" w:cs="Tinos"/>
          <w:sz w:val="28"/>
          <w:szCs w:val="28"/>
        </w:rPr>
        <w:t xml:space="preserve"> ведение реестра организаций отдыха детей и их оздоровления на территории Оренбургской области (далее – Реестр), а также его размещение на официальном сайте министерства образования Оренбургской области в информационно-телекоммуникационной сети «Интернет»;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761"/>
        <w:contextualSpacing/>
        <w:ind w:left="0" w:right="0" w:firstLine="709"/>
        <w:jc w:val="both"/>
        <w:spacing w:before="0" w:after="0" w:line="240" w:lineRule="auto"/>
        <w:tabs>
          <w:tab w:val="clear" w:pos="708" w:leader="none"/>
          <w:tab w:val="left" w:pos="4160" w:leader="none"/>
        </w:tabs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осуществление в пределах своих полномочий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Реестре.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contextualSpacing/>
        <w:ind w:left="0" w:right="0" w:firstLine="720"/>
        <w:jc w:val="both"/>
        <w:spacing w:before="0" w:after="0" w:line="240" w:lineRule="auto"/>
        <w:tabs>
          <w:tab w:val="clear" w:pos="708" w:leader="none"/>
          <w:tab w:val="left" w:pos="4160" w:leader="none"/>
        </w:tabs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1.2. Взять на контроль: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416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</w:rPr>
        <w:t xml:space="preserve">выполнение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(далее – ОВЗ) в порядке, установленном Правительством Оренбургской области;</w:t>
      </w:r>
      <w:r>
        <w:rPr>
          <w:rFonts w:ascii="Tinos" w:hAnsi="Tinos" w:cs="Tinos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4160" w:leader="none"/>
        </w:tabs>
        <w:rPr>
          <w:rFonts w:ascii="Tinos" w:hAnsi="Tinos" w:cs="Tinos"/>
        </w:rPr>
        <w:sectPr>
          <w:headerReference w:type="default" r:id="rId8"/>
          <w:footnotePr/>
          <w:endnotePr/>
          <w:type w:val="nextPage"/>
          <w:pgSz w:w="11906" w:h="16838" w:orient="portrait"/>
          <w:pgMar w:top="1201" w:right="851" w:bottom="1098" w:left="1701" w:header="1144" w:footer="0" w:gutter="0"/>
          <w:cols w:num="1" w:sep="0" w:space="1701" w:equalWidth="1"/>
          <w:docGrid w:linePitch="360"/>
        </w:sectPr>
      </w:pPr>
      <w:r>
        <w:rPr>
          <w:rFonts w:ascii="Tinos" w:hAnsi="Tinos" w:eastAsia="Tinos" w:cs="Tinos"/>
          <w:sz w:val="28"/>
          <w:szCs w:val="28"/>
        </w:rPr>
        <w:t xml:space="preserve">укомплектование организаций отдыха детей и их оздоровления педагогическими кадрами, имеющими соответствующий уровень профессиональной подготовки и опыт работы, владеющими современными педагогическими и оздоровительными технологиями.</w:t>
      </w:r>
      <w:r>
        <w:rPr>
          <w:rFonts w:ascii="Tinos" w:hAnsi="Tinos" w:cs="Tinos"/>
        </w:rPr>
      </w:r>
    </w:p>
    <w:p>
      <w:pPr>
        <w:pStyle w:val="761"/>
        <w:contextualSpacing/>
        <w:ind w:left="0" w:right="0" w:firstLine="709"/>
        <w:jc w:val="both"/>
        <w:spacing w:before="0"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1.3.</w:t>
      </w:r>
      <w:r>
        <w:rPr>
          <w:rFonts w:ascii="Tinos" w:hAnsi="Tinos" w:eastAsia="Tinos" w:cs="Tinos"/>
          <w:sz w:val="28"/>
          <w:szCs w:val="28"/>
        </w:rPr>
        <w:t xml:space="preserve"> Организовать программное, кадровое и методическое сопровождение областных детских специализированных (профильных) смен для детей-сирот и детей, оставшихся без попечения родителей; детей с ОВЗ; детей, одаренных в сфере науки, творчества</w:t>
      </w:r>
      <w:r>
        <w:rPr>
          <w:rFonts w:ascii="Tinos" w:hAnsi="Tinos" w:eastAsia="Tinos" w:cs="Tinos"/>
          <w:sz w:val="28"/>
          <w:szCs w:val="28"/>
        </w:rPr>
        <w:t xml:space="preserve"> и спорта, воспитанников областных очно-заочных школ различной направленности; победителей и призеров предметных олимпиад, конкурсов, соревнований районного, областного, всероссийского и международного уровней и лидеров органов ученического самоуправления.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contextualSpacing/>
        <w:ind w:left="0" w:right="0" w:firstLine="709"/>
        <w:jc w:val="right"/>
        <w:spacing w:before="0" w:after="0"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1.4. Совм</w:t>
      </w:r>
      <w:r>
        <w:rPr>
          <w:rFonts w:ascii="Tinos" w:hAnsi="Tinos" w:eastAsia="Tinos" w:cs="Tinos"/>
          <w:sz w:val="28"/>
          <w:szCs w:val="28"/>
        </w:rPr>
        <w:t xml:space="preserve">естно с ресурсным детским центром «Содружество» государственного автономного профессионального образовательного учреждения «Академия сервиса» провести областной смотр-конкурс организаций отдыха детей и их оздоровления, программ отдыха и оздоровления детей.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761"/>
        <w:ind w:firstLine="709"/>
        <w:jc w:val="right"/>
        <w:tabs>
          <w:tab w:val="clear" w:pos="708" w:leader="none"/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до 29.08.2026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1.5. </w:t>
      </w:r>
      <w:r>
        <w:rPr>
          <w:rFonts w:ascii="Tinos" w:hAnsi="Tinos" w:eastAsia="Tinos" w:cs="Tinos"/>
          <w:sz w:val="28"/>
          <w:szCs w:val="28"/>
        </w:rPr>
        <w:t xml:space="preserve">Осуществлять мониторинг проведения детской оздоровительной кампании, организацию и проведение мероприятий, связанных с началом детской оздоровительной кампании и подведением ее итогов.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761"/>
        <w:contextualSpacing/>
        <w:ind w:left="0" w:right="0" w:firstLine="709"/>
        <w:jc w:val="right"/>
        <w:spacing w:before="0" w:after="0"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2. Отделу дополнительного образования: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2.1. Разработать совместно с областными организациями дополнительного образования, подведомственными министерству образования Оренбургской области, план мероприятий по организации и проведению летних каникул обучающихся в 2026 году (далее – План). 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761"/>
        <w:ind w:firstLine="709"/>
        <w:jc w:val="right"/>
        <w:tabs>
          <w:tab w:val="clear" w:pos="708" w:leader="none"/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Срок: до 30.05.2026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2.2. Осуществлять общую координацию работы организаций дополнительного образования, подведомственных министерст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ву образования Оренбургской области, муниципальных органов, осуществляющих управление в сфере образования, по организации и проведению каникул в летний период, в том числе занятости детей и подростков организованными формами отдыха в соответствии с Планом.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83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2.3. Совместно с организациями дополнительного образования, подведомственными министерству образования Оренбургской области, оказывать организационно-мет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одическую помощь по вопросам организации занятости детей, подростков и молодежи, в том числе проведению онлайн-смен 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right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3. Отделу охраны прав детей, воспитания и специального образования осуществлять координацию деятельности руководи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телей образовательных организаций для детей-сирот и детей, оставшихся без попечения родителей, подведомственных министерству образования Оренбургской области, по организации летнего отдыха, оздоровления и занятости воспитанников в летний период 2026 года. 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firstLine="709"/>
        <w:jc w:val="right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4. Информационно-аналитическому отделу организовать освещение хода летней оздоровительной кампании на официальном портале министерства образования Оренбургской области в информационно-коммуникационной сети «Интернет».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firstLine="709"/>
        <w:jc w:val="right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5. Руководителям организаций дополнительного образования, подведомственных министерству образования Оренбургской области: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5.1. Организовать работу постоянно действующих дистанционных консультационных пунктов для оказания методической помощи  по своим профилям, в том числе по вопросам проведения онлайн-смен и других форм полезной занятости обучающихся.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left="11" w:firstLine="69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5.2. Обеспечить безопасность и охрану жизни и здоровья детей при организации перевозок детей всеми видами транспорта для участия в областных и всероссийских мероприятиях и профильных сменах, 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роводимых на территории Оренбургской области и за ее пределами, в соответствии с постановлением Правительства Российской Федерации от 23.09.2020 № 1527 «Об утверждении Правил организованной перевозки группы детей автобусами», Методическими рекомендациями М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 2.4.0348-24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10.07.2024,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области,       от 14.04.2025.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5.3. Предоставить отчет по итогам проведения профильных смен в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ресурсный детский центр «Содружество» государственного автономного профессионального образовательного учреждения «Академия сервиса»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(не позднее 10 дней после окончания профильной смены). 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left="11" w:firstLine="698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 Руководителям образовательных организаций, подведомственных министерству образования Оренбургской области, для детей-сирот и детей, оставшихся без попечения родителей: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6.1. Организовать занятость воспитанников в соответствии с режимом учреждения.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6.2. Исключить условия, способствующие совершению самовольных уходов.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6.3. Осуществлять временную передачу воспитанников в семьи граждан, постоянно проживающих на территории Российской Федерации, </w:t>
        <w:br/>
        <w:t xml:space="preserve">в соответствии с требованиями законодательства Российской Федерации.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6.4. Принять меры по обеспечению безопасности детей во время подготовки и проведения мероприятий.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6.5. Взять под личный контроль проведение инструктажей с воспитанниками о мерах предосторожности и поведении на дорогах, вблизи водоемов, в местах массового скопления людей, при чрезвычайных обстоятельствах.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6.6. </w:t>
      </w:r>
      <w:bookmarkStart w:id="2" w:name="_Hlk166756652"/>
      <w:r>
        <w:rPr>
          <w:rFonts w:ascii="Tinos" w:hAnsi="Tinos" w:eastAsia="Tinos" w:cs="Tinos"/>
          <w:sz w:val="28"/>
          <w:szCs w:val="28"/>
        </w:rPr>
        <w:t xml:space="preserve">Обновить информационные стенды о деятельности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 их родителей: 8 (3532) 90-11-50, </w:t>
      </w:r>
      <w:r>
        <w:rPr>
          <w:rFonts w:ascii="Tinos" w:hAnsi="Tinos" w:eastAsia="Tinos" w:cs="Tinos"/>
          <w:sz w:val="28"/>
          <w:szCs w:val="28"/>
          <w:lang w:val="en-US"/>
        </w:rPr>
        <w:t xml:space="preserve">kc</w:t>
      </w:r>
      <w:r>
        <w:rPr>
          <w:rFonts w:ascii="Tinos" w:hAnsi="Tinos" w:eastAsia="Tinos" w:cs="Tinos"/>
          <w:sz w:val="28"/>
          <w:szCs w:val="28"/>
        </w:rPr>
        <w:t xml:space="preserve">-</w:t>
      </w:r>
      <w:r>
        <w:rPr>
          <w:rFonts w:ascii="Tinos" w:hAnsi="Tinos" w:eastAsia="Tinos" w:cs="Tinos"/>
          <w:sz w:val="28"/>
          <w:szCs w:val="28"/>
          <w:lang w:val="en-US"/>
        </w:rPr>
        <w:t xml:space="preserve">compas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  <w:lang w:val="en-US"/>
        </w:rPr>
        <w:t xml:space="preserve">ru</w:t>
      </w:r>
      <w:r>
        <w:rPr>
          <w:rFonts w:ascii="Tinos" w:hAnsi="Tinos" w:eastAsia="Tinos" w:cs="Tinos"/>
          <w:sz w:val="28"/>
          <w:szCs w:val="28"/>
        </w:rPr>
        <w:t xml:space="preserve">.</w:t>
      </w:r>
      <w:bookmarkEnd w:id="2"/>
      <w:r/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6.7. Продолжить работу по социализации детей и подростков </w:t>
        <w:br/>
        <w:t xml:space="preserve">с участием сотрудников правоохранительных органов, психологов и других специалистов, уделив особое внимание проблемам медиабе</w:t>
      </w:r>
      <w:r>
        <w:rPr>
          <w:rFonts w:ascii="Tinos" w:hAnsi="Tinos" w:eastAsia="Tinos" w:cs="Tinos"/>
          <w:sz w:val="28"/>
          <w:szCs w:val="28"/>
        </w:rPr>
        <w:t xml:space="preserve">зопасности несовершеннолетних, защите их от негативного контента в информационно-коммуникационной сети «Интернет», предупреждению вовлечения их в деятельность деструктивных молодежных групп, профилактике суицидальных настроений в детско-подростковой среде.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</w:rPr>
        <w:t xml:space="preserve">6.8. </w:t>
      </w:r>
      <w:r>
        <w:rPr>
          <w:rFonts w:ascii="Tinos" w:hAnsi="Tinos" w:eastAsia="Tinos" w:cs="Tinos"/>
          <w:sz w:val="28"/>
          <w:szCs w:val="28"/>
        </w:rPr>
        <w:t xml:space="preserve">Обеспечить безопасность и охрану жизни и здо</w:t>
      </w:r>
      <w:r>
        <w:rPr>
          <w:rFonts w:ascii="Tinos" w:hAnsi="Tinos" w:eastAsia="Tinos" w:cs="Tinos"/>
          <w:sz w:val="28"/>
          <w:szCs w:val="28"/>
        </w:rPr>
        <w:t xml:space="preserve">ровья детей при организации перевозок  всеми видами транспорта за пределы Оренбургской области в соответствии с постановлением Правительства Российской Федерации от 23.09.2020 № 1527 «Об утверждении Правил организованной перевозки группы детей автобусами»,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Методическими рекомендациями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МР 2.4.0348-24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10.07.2024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,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области,      от 14.04.2025.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6.9. Информировать незамедл</w:t>
      </w:r>
      <w:r>
        <w:rPr>
          <w:rFonts w:ascii="Tinos" w:hAnsi="Tinos" w:eastAsia="Tinos" w:cs="Tinos"/>
          <w:sz w:val="28"/>
          <w:szCs w:val="28"/>
        </w:rPr>
        <w:t xml:space="preserve">ительно отдел охраны прав детей, воспитания и специального образования, комиссию по делам несовершеннолетних и защите их прав, подразделение по делам несовершеннолетних органов внутренних дел Оренбургской области о случаях самовольных уходов воспитанников.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7. Рекомендовать руководителям муниципальных органов, осуществляющих управление в сфере образования, Оренбургской области:</w:t>
      </w:r>
      <w:r>
        <w:rPr>
          <w:rFonts w:ascii="Tinos" w:hAnsi="Tinos" w:eastAsia="Tinos" w:cs="Tinos"/>
          <w:sz w:val="28"/>
          <w:szCs w:val="28"/>
          <w:highlight w:val="white"/>
          <w:u w:val="singl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7.1. Взять под личный</w:t>
      </w:r>
      <w:r>
        <w:rPr>
          <w:rFonts w:ascii="Tinos" w:hAnsi="Tinos" w:eastAsia="Tinos" w:cs="Tinos"/>
          <w:b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контроль:</w:t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кадровое обеспечение организаций отдыха и оздоровления детей в летний период;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vanish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наличие своевременно полученных справок об отсутствии судимостей;</w:t>
      </w:r>
      <w:r>
        <w:rPr>
          <w:rFonts w:ascii="Tinos" w:hAnsi="Tinos" w:cs="Tinos"/>
          <w:vanish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комплектование </w:t>
      </w:r>
      <w:r>
        <w:rPr>
          <w:rFonts w:ascii="Tinos" w:hAnsi="Tinos" w:eastAsia="Tinos" w:cs="Tinos"/>
          <w:sz w:val="28"/>
          <w:szCs w:val="28"/>
        </w:rPr>
        <w:t xml:space="preserve">организаций отдыха детей и их оздоровления кадра</w:t>
      </w:r>
      <w:r>
        <w:rPr>
          <w:rFonts w:ascii="Tinos" w:hAnsi="Tinos" w:eastAsia="Tinos" w:cs="Tinos"/>
          <w:sz w:val="28"/>
          <w:szCs w:val="28"/>
        </w:rPr>
        <w:t xml:space="preserve">ми вожатых преимущественно за счет прошедших соответствующую подготовку студентов образовательных организаций высшего образования </w:t>
        <w:br/>
        <w:t xml:space="preserve">и профессиональных образовательных организаций, воспитателей – за счет педагогических работников образовательных организаций;</w:t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повышение профессионального мастерства воспитателей, инструкторов по физической культуре, инструкторов по плаванию организаций отдыха детей и их оздоровления, практико-ориентированную подготовку вожатых;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качественное выполнение педагогическими кадрами своих должностных обязанностей; 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обеспечение психолого-педагогического сопровождения организаций отдыха и оздоровления детей и подростков в целях профилактики негативных явлений, в том числе выявления и профилактик</w:t>
      </w:r>
      <w:r>
        <w:rPr>
          <w:rFonts w:ascii="Tinos" w:hAnsi="Tinos" w:eastAsia="Tinos" w:cs="Tinos"/>
          <w:sz w:val="28"/>
          <w:szCs w:val="28"/>
        </w:rPr>
        <w:t xml:space="preserve">и суицидального поведения детей и подростков, повышения эффективности оздоровления детей, в том числе детей из семей социального риска, детей, имеющих отклонения в здоровье или поведении, детей, испытывающих трудности в общении со взрослыми и сверстниками;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соблюдение медицинских и квалификационных требований при комплектовании организаций отдыха детей и их оздоровления работниками пищеблока, обеспечение контроля за качественным выполнением ими своих обязанностей;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spacing w:line="235" w:lineRule="auto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проведение заочных благот</w:t>
      </w:r>
      <w:r>
        <w:rPr>
          <w:rFonts w:ascii="Tinos" w:hAnsi="Tinos" w:eastAsia="Tinos" w:cs="Tinos"/>
          <w:sz w:val="28"/>
          <w:szCs w:val="28"/>
        </w:rPr>
        <w:t xml:space="preserve">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spacing w:line="235" w:lineRule="auto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качественное содержание воспитательной работы с детьми;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spacing w:line="235" w:lineRule="auto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максимальную занятость обучающихся в кан</w:t>
      </w:r>
      <w:r>
        <w:rPr>
          <w:rFonts w:ascii="Tinos" w:hAnsi="Tinos" w:eastAsia="Tinos" w:cs="Tinos"/>
          <w:sz w:val="28"/>
          <w:szCs w:val="28"/>
        </w:rPr>
        <w:t xml:space="preserve">икулярный период, включая постоянную работу по реализации программ воспитания </w:t>
        <w:br/>
        <w:t xml:space="preserve">и социализации, мероприятий, кружков, организации дополнительного образования детей, в том числе с применением электронного обучения </w:t>
        <w:br/>
        <w:t xml:space="preserve">и дистанционных образовательных технологий;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spacing w:line="235" w:lineRule="auto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участие детей и педагогических работников в областных мероприятиях в соответствии с Планом;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создание необходимых условий для проведения работы </w:t>
        <w:br/>
        <w:t xml:space="preserve">по гигиеническому воспитанию обучающихся, популяризации навыков здорового образа жизни, профилактике алкоголизма, наркомании.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7.2. Обеспечить: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организацию безопасности и охраны правопорядка в организациях отдыха детей и их оздоровления;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left="0"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включение организаций отдыха детей и их оздоровления в Реестр, недопущение открытия несанкционированных лагерей всех типов;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усиление охраны в организациях отдыха детей и их оздоровления и ужесточение требований к осуществлению пропускного режима;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полноценным питанием детей, в том числе детей дошкольного возраста, строго выполнять санитарно-гигиенические нормы и проведение противоэпидемических мероприятий.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7.3. </w:t>
      </w:r>
      <w:r>
        <w:rPr>
          <w:rFonts w:ascii="Tinos" w:hAnsi="Tinos" w:eastAsia="Tinos" w:cs="Tinos"/>
          <w:sz w:val="28"/>
          <w:szCs w:val="28"/>
        </w:rPr>
        <w:t xml:space="preserve">Активизировать деятельность социально-психологических служб образовательных организаций, уполномоченных по правам детей и слу</w:t>
      </w:r>
      <w:r>
        <w:rPr>
          <w:rFonts w:ascii="Tinos" w:hAnsi="Tinos" w:eastAsia="Tinos" w:cs="Tinos"/>
          <w:sz w:val="28"/>
          <w:szCs w:val="28"/>
        </w:rPr>
        <w:t xml:space="preserve">жб школьной медиации по формированию благоприятных взаимоотношений </w:t>
        <w:br/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помощи.  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left="11" w:firstLine="698"/>
        <w:jc w:val="right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Срок: в течение всего периода</w:t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761"/>
        <w:ind w:left="11" w:firstLine="698"/>
        <w:jc w:val="both"/>
        <w:rPr>
          <w:rFonts w:ascii="Tinos" w:hAnsi="Tinos" w:cs="Tinos"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sz w:val="28"/>
          <w:szCs w:val="28"/>
        </w:rPr>
        <w:t xml:space="preserve">7.4. Продолжить работу по психолого-педагогическому просвещению родителей</w:t>
      </w:r>
      <w:r>
        <w:rPr>
          <w:rFonts w:ascii="Tinos" w:hAnsi="Tinos" w:eastAsia="Tinos" w:cs="Tinos"/>
          <w:sz w:val="28"/>
          <w:szCs w:val="28"/>
        </w:rPr>
        <w:t xml:space="preserve"> об актуальных проблемах воспитания и социализации детей и подростков с участием сотрудников правоохранительных органов, психологов и других специалистов, уделив особое внимание проблемам медиабезопасности несовершеннолетних, защите их от негативного конте</w:t>
      </w:r>
      <w:r>
        <w:rPr>
          <w:rFonts w:ascii="Tinos" w:hAnsi="Tinos" w:eastAsia="Tinos" w:cs="Tinos"/>
          <w:sz w:val="28"/>
          <w:szCs w:val="28"/>
        </w:rPr>
        <w:t xml:space="preserve">нта в информационно-телекоммуникационной сети «Интернет»,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травматизма, применяя методические рекомендации</w:t>
      </w:r>
      <w:r>
        <w:rPr>
          <w:rFonts w:ascii="Tinos" w:hAnsi="Tinos" w:eastAsia="Tinos" w:cs="Tinos"/>
          <w:sz w:val="28"/>
          <w:szCs w:val="28"/>
        </w:rPr>
        <w:t xml:space="preserve"> по использованию медиативных технологий в социальных сетях «Медиация-дети-соцсети» (письмо Министерства просвещения Российской Федерации от 14.08.2024 № ДГ-1333/07); методические пособия, разработанные под руководством академика российской академии образо</w:t>
      </w:r>
      <w:r>
        <w:rPr>
          <w:rFonts w:ascii="Tinos" w:hAnsi="Tinos" w:eastAsia="Tinos" w:cs="Tinos"/>
          <w:sz w:val="28"/>
          <w:szCs w:val="28"/>
        </w:rPr>
        <w:t xml:space="preserve">вания А.А.Реана «Как не стать жертвой и почему не стоит нападать на других?», «Руководство по противодействию буллингу» (письма Министерства просвещения Российской Федерации от 2.12.2019 № 07-8407, от 23.12.2023 № 07-9187); методические рекомендации «Профи</w:t>
      </w:r>
      <w:r>
        <w:rPr>
          <w:rFonts w:ascii="Tinos" w:hAnsi="Tinos" w:eastAsia="Tinos" w:cs="Tinos"/>
          <w:sz w:val="28"/>
          <w:szCs w:val="28"/>
        </w:rPr>
        <w:t xml:space="preserve">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климата» (письмо Министерства просвещения Российской Федерации от 28.07.2023   № 07-4251). </w:t>
      </w:r>
      <w:r>
        <w:rPr>
          <w:rFonts w:ascii="Tinos" w:hAnsi="Tinos" w:cs="Tinos"/>
          <w:sz w:val="28"/>
          <w:szCs w:val="28"/>
          <w:highlight w:val="none"/>
          <w14:ligatures w14:val="non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7.5. Продолжить работу по профилактике детского дорожно-транспортно</w:t>
      </w:r>
      <w:r>
        <w:rPr>
          <w:rFonts w:ascii="Tinos" w:hAnsi="Tinos" w:eastAsia="Tinos" w:cs="Tinos"/>
          <w:sz w:val="28"/>
          <w:szCs w:val="28"/>
        </w:rPr>
        <w:t xml:space="preserve">го травматизма, соблюдению техники безопасности во всех типах детских оздоровительных лагерей, в дошкольных образовательных организациях, в том числе во время проведения мероприятий, туристических походов, поездок и перевозок детей всеми видами транспорта.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</w:rPr>
        <w:t xml:space="preserve">7.6. Соблюдать требования к перевозкам организованных групп детей автомобильным и железнодорожным транспортом в соответствии с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:shd w:val="clear" w:color="auto" w:fill="ffffff"/>
        </w:rPr>
        <w:t xml:space="preserve">Методическими рекомендациями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:shd w:val="clear" w:color="auto" w:fill="ffffff"/>
        </w:rPr>
        <w:t xml:space="preserve"> МР 2.4.0348-24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10.07.2024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 от 14.04.2025.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7.7. Своевременно извещать органы здравоохранения, органы внутренних дел о планируемых перевозках для возможного подбора медицинских и полицейских кадров для сопровождения; усилить контроль за водителями, осуществляющими перевозки детей.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7.8. Обновить информационные стенды о деятельности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 их родителей: 8 (3532) 90-11-50, </w:t>
      </w:r>
      <w:r>
        <w:rPr>
          <w:rFonts w:ascii="Tinos" w:hAnsi="Tinos" w:eastAsia="Tinos" w:cs="Tinos"/>
          <w:sz w:val="28"/>
          <w:szCs w:val="28"/>
          <w:lang w:val="en-US"/>
        </w:rPr>
        <w:t xml:space="preserve">kc</w:t>
      </w:r>
      <w:r>
        <w:rPr>
          <w:rFonts w:ascii="Tinos" w:hAnsi="Tinos" w:eastAsia="Tinos" w:cs="Tinos"/>
          <w:sz w:val="28"/>
          <w:szCs w:val="28"/>
        </w:rPr>
        <w:t xml:space="preserve">-</w:t>
      </w:r>
      <w:r>
        <w:rPr>
          <w:rFonts w:ascii="Tinos" w:hAnsi="Tinos" w:eastAsia="Tinos" w:cs="Tinos"/>
          <w:sz w:val="28"/>
          <w:szCs w:val="28"/>
          <w:lang w:val="en-US"/>
        </w:rPr>
        <w:t xml:space="preserve">compas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  <w:lang w:val="en-US"/>
        </w:rPr>
        <w:t xml:space="preserve">ru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</w:t>
      </w:r>
      <w:r>
        <w:rPr>
          <w:rFonts w:ascii="Tinos" w:hAnsi="Tinos" w:eastAsia="Tinos" w:cs="Tinos"/>
          <w:sz w:val="28"/>
          <w:szCs w:val="28"/>
        </w:rPr>
        <w:t xml:space="preserve">.9. Незамедлительно информировать министерство образования Оренбургской области (по компетенции отделов), территориальные органы внутренних дел и организации здравоохранения обо всех несчастных случаях с детьми и чрезвычайных происшествиях в летний период.</w:t>
      </w:r>
      <w:r>
        <w:rPr>
          <w:rFonts w:ascii="Tinos" w:hAnsi="Tinos" w:cs="Tinos"/>
          <w:sz w:val="28"/>
          <w:szCs w:val="28"/>
        </w:rPr>
      </w:r>
    </w:p>
    <w:p>
      <w:pPr>
        <w:pStyle w:val="761"/>
        <w:ind w:firstLine="709"/>
        <w:jc w:val="right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постоянно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8. Контроль за исполнением настоящего приказа возложить на заместителя министра по компетенции.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ind w:firstLine="709"/>
        <w:jc w:val="both"/>
        <w:tabs>
          <w:tab w:val="clear" w:pos="708" w:leader="none"/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61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tbl>
      <w:tblPr>
        <w:tblW w:w="960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479"/>
        <w:gridCol w:w="2126"/>
      </w:tblGrid>
      <w:tr>
        <w:tblPrEx/>
        <w:trPr>
          <w:trHeight w:val="70"/>
        </w:trPr>
        <w:tc>
          <w:tcPr>
            <w:shd w:val="clear" w:color="auto" w:fill="auto"/>
            <w:tcW w:w="7479" w:type="dxa"/>
            <w:textDirection w:val="lrTb"/>
            <w:noWrap w:val="false"/>
          </w:tcPr>
          <w:p>
            <w:pPr>
              <w:pStyle w:val="761"/>
              <w:jc w:val="both"/>
              <w:spacing w:line="480" w:lineRule="auto"/>
              <w:widowControl w:val="off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8"/>
                <w:szCs w:val="28"/>
              </w:rPr>
              <w:t xml:space="preserve">Первый заместитель министра </w:t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  <w:tc>
          <w:tcPr>
            <w:shd w:val="clear" w:color="auto" w:fill="auto"/>
            <w:tcW w:w="2126" w:type="dxa"/>
            <w:textDirection w:val="lrTb"/>
            <w:noWrap w:val="false"/>
          </w:tcPr>
          <w:p>
            <w:pPr>
              <w:pStyle w:val="761"/>
              <w:jc w:val="both"/>
              <w:spacing w:line="480" w:lineRule="auto"/>
              <w:widowControl w:val="off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cs="Tinos"/>
                <w:sz w:val="28"/>
                <w:szCs w:val="28"/>
              </w:rPr>
              <w:t xml:space="preserve">Н.А.Гордеева</w:t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</w:tr>
    </w:tbl>
    <w:p>
      <w:pPr>
        <w:pStyle w:val="761"/>
        <w:ind w:right="-1" w:firstLine="0"/>
        <w:jc w:val="both"/>
        <w:tabs>
          <w:tab w:val="clear" w:pos="708" w:leader="none"/>
          <w:tab w:val="left" w:pos="993" w:leader="none"/>
          <w:tab w:val="left" w:pos="1985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1428" w:right="851" w:bottom="1098" w:left="1701" w:header="1144" w:footer="720" w:gutter="0"/>
          <w:cols w:num="1" w:sep="0" w:space="1701" w:equalWidth="1"/>
          <w:docGrid w:linePitch="360"/>
        </w:sectPr>
      </w:pPr>
      <w:r/>
      <w:r/>
    </w:p>
    <w:p>
      <w:pPr>
        <w:pStyle w:val="761"/>
        <w:jc w:val="center"/>
        <w:spacing w:before="0" w:after="120"/>
        <w:widowControl w:val="off"/>
        <w:rPr>
          <w:rFonts w:ascii="Tahoma" w:hAnsi="Tahoma" w:eastAsia="Lucida Sans Unicode" w:cs="Tahoma"/>
          <w:sz w:val="16"/>
          <w:szCs w:val="16"/>
          <w:lang w:eastAsia="en-US"/>
        </w:rPr>
      </w:pPr>
      <w:r>
        <w:rPr>
          <w:rFonts w:ascii="Tinos" w:hAnsi="Tinos" w:eastAsia="Tinos" w:cs="Tinos"/>
          <w:sz w:val="16"/>
          <w:szCs w:val="16"/>
          <w:lang w:eastAsia="en-US"/>
        </w:rP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2877185" cy="1080135"/>
                <wp:effectExtent l="0" t="0" r="0" b="0"/>
                <wp:wrapNone/>
                <wp:docPr id="5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877185" cy="1080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3;o:allowoverlap:true;o:allowincell:false;mso-position-horizontal-relative:char;mso-position-horizontal:left;mso-position-vertical-relative:line;margin-top:0.05pt;mso-position-vertical:absolute;width:226.55pt;height:85.0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nos" w:hAnsi="Tinos" w:eastAsia="Tinos" w:cs="Tinos"/>
          <w:sz w:val="16"/>
          <w:szCs w:val="16"/>
          <w:lang w:eastAsia="en-US"/>
        </w:rPr>
        <w:t xml:space="preserve"> </w:t>
      </w:r>
      <w:r>
        <w:rPr>
          <w:rFonts w:ascii="Tahoma" w:hAnsi="Tahoma" w:eastAsia="Lucida Sans Unicode" w:cs="Tahoma"/>
          <w:sz w:val="16"/>
          <w:szCs w:val="16"/>
          <w:lang w:eastAsia="en-US"/>
        </w:rPr>
      </w:r>
    </w:p>
    <w:p>
      <w:pPr>
        <w:sectPr>
          <w:footnotePr/>
          <w:endnotePr/>
          <w:type w:val="continuous"/>
          <w:pgSz w:w="11906" w:h="16838" w:orient="portrait"/>
          <w:pgMar w:top="1428" w:right="851" w:bottom="1098" w:left="1701" w:header="1144" w:footer="720" w:gutter="0"/>
          <w:cols w:num="1" w:sep="0" w:space="1701" w:equalWidth="1"/>
          <w:docGrid w:linePitch="360"/>
        </w:sectPr>
      </w:pPr>
      <w:r/>
      <w:r/>
    </w:p>
    <w:p>
      <w:pPr>
        <w:pStyle w:val="761"/>
      </w:pPr>
      <w:r/>
      <w:r/>
    </w:p>
    <w:p>
      <w:pPr>
        <w:pStyle w:val="761"/>
        <w:jc w:val="center"/>
        <w:tabs>
          <w:tab w:val="clear" w:pos="708" w:leader="none"/>
          <w:tab w:val="left" w:pos="1803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</w:t>
      </w:r>
      <w:r>
        <w:rPr>
          <w:rFonts w:ascii="Tinos" w:hAnsi="Tinos" w:cs="Tinos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1428" w:right="851" w:bottom="1098" w:left="1701" w:header="1144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Lucida Sans Unicode">
    <w:panose1 w:val="020B0502040504020204"/>
  </w:font>
  <w:font w:name="Verdana">
    <w:panose1 w:val="020B0604030504040204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ind w:right="360" w:firstLine="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ind w:right="360" w:firstLine="0"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42"/>
                            <w:rPr>
                              <w:rStyle w:val="794"/>
                            </w:rPr>
                          </w:pPr>
                          <w:r>
                            <w:rPr>
                              <w:rStyle w:val="794"/>
                            </w:rPr>
                            <w:fldChar w:fldCharType="begin"/>
                          </w:r>
                          <w:r>
                            <w:rPr>
                              <w:rStyle w:val="794"/>
                            </w:rPr>
                            <w:instrText xml:space="preserve"> PAGE </w:instrText>
                          </w:r>
                          <w:r>
                            <w:rPr>
                              <w:rStyle w:val="794"/>
                            </w:rPr>
                            <w:fldChar w:fldCharType="separate"/>
                          </w:r>
                          <w:r>
                            <w:rPr>
                              <w:rStyle w:val="794"/>
                            </w:rPr>
                            <w:t xml:space="preserve">0</w:t>
                          </w:r>
                          <w:r>
                            <w:rPr>
                              <w:rStyle w:val="794"/>
                            </w:rPr>
                            <w:fldChar w:fldCharType="end"/>
                          </w:r>
                          <w:r>
                            <w:rPr>
                              <w:rStyle w:val="794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0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42"/>
                      <w:rPr>
                        <w:rStyle w:val="794"/>
                      </w:rPr>
                    </w:pPr>
                    <w:r>
                      <w:rPr>
                        <w:rStyle w:val="794"/>
                      </w:rPr>
                      <w:fldChar w:fldCharType="begin"/>
                    </w:r>
                    <w:r>
                      <w:rPr>
                        <w:rStyle w:val="794"/>
                      </w:rPr>
                      <w:instrText xml:space="preserve"> PAGE </w:instrText>
                    </w:r>
                    <w:r>
                      <w:rPr>
                        <w:rStyle w:val="794"/>
                      </w:rPr>
                      <w:fldChar w:fldCharType="separate"/>
                    </w:r>
                    <w:r>
                      <w:rPr>
                        <w:rStyle w:val="794"/>
                      </w:rPr>
                      <w:t xml:space="preserve">0</w:t>
                    </w:r>
                    <w:r>
                      <w:rPr>
                        <w:rStyle w:val="794"/>
                      </w:rPr>
                      <w:fldChar w:fldCharType="end"/>
                    </w:r>
                    <w:r>
                      <w:rPr>
                        <w:rStyle w:val="79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ind w:right="360"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838"/>
      <w:ind w:right="360" w:firstLine="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838"/>
      <w:ind w:right="360" w:firstLine="0"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38"/>
                            <w:rPr>
                              <w:rStyle w:val="794"/>
                            </w:rPr>
                          </w:pPr>
                          <w:r>
                            <w:rPr>
                              <w:rStyle w:val="794"/>
                            </w:rPr>
                            <w:fldChar w:fldCharType="begin"/>
                          </w:r>
                          <w:r>
                            <w:rPr>
                              <w:rStyle w:val="794"/>
                            </w:rPr>
                            <w:instrText xml:space="preserve"> PAGE </w:instrText>
                          </w:r>
                          <w:r>
                            <w:rPr>
                              <w:rStyle w:val="794"/>
                            </w:rPr>
                            <w:fldChar w:fldCharType="separate"/>
                          </w:r>
                          <w:r>
                            <w:rPr>
                              <w:rStyle w:val="794"/>
                            </w:rPr>
                            <w:t xml:space="preserve">0</w:t>
                          </w:r>
                          <w:r>
                            <w:rPr>
                              <w:rStyle w:val="794"/>
                            </w:rPr>
                            <w:fldChar w:fldCharType="end"/>
                          </w:r>
                          <w:r>
                            <w:rPr>
                              <w:rStyle w:val="794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0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38"/>
                      <w:rPr>
                        <w:rStyle w:val="794"/>
                      </w:rPr>
                    </w:pPr>
                    <w:r>
                      <w:rPr>
                        <w:rStyle w:val="794"/>
                      </w:rPr>
                      <w:fldChar w:fldCharType="begin"/>
                    </w:r>
                    <w:r>
                      <w:rPr>
                        <w:rStyle w:val="794"/>
                      </w:rPr>
                      <w:instrText xml:space="preserve"> PAGE </w:instrText>
                    </w:r>
                    <w:r>
                      <w:rPr>
                        <w:rStyle w:val="794"/>
                      </w:rPr>
                      <w:fldChar w:fldCharType="separate"/>
                    </w:r>
                    <w:r>
                      <w:rPr>
                        <w:rStyle w:val="794"/>
                      </w:rPr>
                      <w:t xml:space="preserve">0</w:t>
                    </w:r>
                    <w:r>
                      <w:rPr>
                        <w:rStyle w:val="794"/>
                      </w:rPr>
                      <w:fldChar w:fldCharType="end"/>
                    </w:r>
                    <w:r>
                      <w:rPr>
                        <w:rStyle w:val="79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838"/>
      <w:ind w:right="360" w:firstLine="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1" w:default="1">
    <w:name w:val="Normal"/>
    <w:qFormat/>
    <w:pPr>
      <w:jc w:val="left"/>
      <w:spacing w:before="0" w:after="0"/>
      <w:widowControl/>
    </w:pPr>
    <w:rPr>
      <w:rFonts w:ascii="Times New Roman" w:hAnsi="Times New Roman" w:eastAsia="DejaVu Sans" w:cs="DejaVu Sans"/>
      <w:color w:val="auto"/>
      <w:sz w:val="24"/>
      <w:szCs w:val="24"/>
      <w:lang w:val="ru-RU" w:eastAsia="ru-RU" w:bidi="ar-SA"/>
    </w:rPr>
  </w:style>
  <w:style w:type="paragraph" w:styleId="762">
    <w:name w:val="Heading 1"/>
    <w:basedOn w:val="761"/>
    <w:next w:val="761"/>
    <w:link w:val="7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3">
    <w:name w:val="Heading 2"/>
    <w:basedOn w:val="761"/>
    <w:next w:val="761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4">
    <w:name w:val="Heading 3"/>
    <w:basedOn w:val="761"/>
    <w:next w:val="761"/>
    <w:link w:val="7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5">
    <w:name w:val="Heading 4"/>
    <w:basedOn w:val="761"/>
    <w:next w:val="761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761"/>
    <w:next w:val="761"/>
    <w:link w:val="7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761"/>
    <w:next w:val="761"/>
    <w:link w:val="7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761"/>
    <w:next w:val="761"/>
    <w:link w:val="7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9">
    <w:name w:val="Heading 8"/>
    <w:basedOn w:val="761"/>
    <w:next w:val="761"/>
    <w:link w:val="7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761"/>
    <w:next w:val="761"/>
    <w:link w:val="7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>
    <w:name w:val="Heading 1 Char"/>
    <w:basedOn w:val="793"/>
    <w:link w:val="762"/>
    <w:uiPriority w:val="9"/>
    <w:qFormat/>
    <w:rPr>
      <w:rFonts w:ascii="Arial" w:hAnsi="Arial" w:eastAsia="Arial" w:cs="Arial"/>
      <w:sz w:val="40"/>
      <w:szCs w:val="40"/>
    </w:rPr>
  </w:style>
  <w:style w:type="character" w:styleId="772">
    <w:name w:val="Heading 2 Char"/>
    <w:basedOn w:val="793"/>
    <w:link w:val="763"/>
    <w:uiPriority w:val="9"/>
    <w:qFormat/>
    <w:rPr>
      <w:rFonts w:ascii="Arial" w:hAnsi="Arial" w:eastAsia="Arial" w:cs="Arial"/>
      <w:sz w:val="34"/>
    </w:rPr>
  </w:style>
  <w:style w:type="character" w:styleId="773">
    <w:name w:val="Heading 3 Char"/>
    <w:basedOn w:val="793"/>
    <w:link w:val="764"/>
    <w:uiPriority w:val="9"/>
    <w:qFormat/>
    <w:rPr>
      <w:rFonts w:ascii="Arial" w:hAnsi="Arial" w:eastAsia="Arial" w:cs="Arial"/>
      <w:sz w:val="30"/>
      <w:szCs w:val="30"/>
    </w:rPr>
  </w:style>
  <w:style w:type="character" w:styleId="774">
    <w:name w:val="Heading 4 Char"/>
    <w:basedOn w:val="793"/>
    <w:link w:val="76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5">
    <w:name w:val="Heading 5 Char"/>
    <w:basedOn w:val="793"/>
    <w:link w:val="76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6">
    <w:name w:val="Heading 6 Char"/>
    <w:basedOn w:val="793"/>
    <w:link w:val="76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7">
    <w:name w:val="Heading 7 Char"/>
    <w:basedOn w:val="793"/>
    <w:link w:val="76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8 Char"/>
    <w:basedOn w:val="793"/>
    <w:link w:val="769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9">
    <w:name w:val="Heading 9 Char"/>
    <w:basedOn w:val="793"/>
    <w:link w:val="77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0">
    <w:name w:val="Title Char"/>
    <w:basedOn w:val="793"/>
    <w:link w:val="819"/>
    <w:uiPriority w:val="10"/>
    <w:qFormat/>
    <w:rPr>
      <w:sz w:val="48"/>
      <w:szCs w:val="48"/>
    </w:rPr>
  </w:style>
  <w:style w:type="character" w:styleId="781">
    <w:name w:val="Subtitle Char"/>
    <w:basedOn w:val="793"/>
    <w:link w:val="820"/>
    <w:uiPriority w:val="11"/>
    <w:qFormat/>
    <w:rPr>
      <w:sz w:val="24"/>
      <w:szCs w:val="24"/>
    </w:rPr>
  </w:style>
  <w:style w:type="character" w:styleId="782">
    <w:name w:val="Quote Char"/>
    <w:link w:val="821"/>
    <w:uiPriority w:val="29"/>
    <w:qFormat/>
    <w:rPr>
      <w:i/>
    </w:rPr>
  </w:style>
  <w:style w:type="character" w:styleId="783">
    <w:name w:val="Intense Quote Char"/>
    <w:link w:val="822"/>
    <w:uiPriority w:val="30"/>
    <w:qFormat/>
    <w:rPr>
      <w:i/>
    </w:rPr>
  </w:style>
  <w:style w:type="character" w:styleId="784">
    <w:name w:val="Header Char"/>
    <w:basedOn w:val="793"/>
    <w:link w:val="838"/>
    <w:uiPriority w:val="99"/>
    <w:qFormat/>
  </w:style>
  <w:style w:type="character" w:styleId="785">
    <w:name w:val="Footer Char"/>
    <w:basedOn w:val="793"/>
    <w:link w:val="842"/>
    <w:uiPriority w:val="99"/>
    <w:qFormat/>
  </w:style>
  <w:style w:type="character" w:styleId="786">
    <w:name w:val="Caption Char"/>
    <w:basedOn w:val="793"/>
    <w:link w:val="816"/>
    <w:uiPriority w:val="35"/>
    <w:qFormat/>
    <w:rPr>
      <w:b/>
      <w:bCs/>
      <w:color w:val="4f81bd" w:themeColor="accent1"/>
      <w:sz w:val="18"/>
      <w:szCs w:val="18"/>
    </w:rPr>
  </w:style>
  <w:style w:type="character" w:styleId="787">
    <w:name w:val="Footnote Text Char"/>
    <w:link w:val="823"/>
    <w:uiPriority w:val="99"/>
    <w:qFormat/>
    <w:rPr>
      <w:sz w:val="18"/>
    </w:rPr>
  </w:style>
  <w:style w:type="character" w:styleId="788">
    <w:name w:val="Footnote Characters"/>
    <w:basedOn w:val="793"/>
    <w:uiPriority w:val="99"/>
    <w:unhideWhenUsed/>
    <w:qFormat/>
    <w:rPr>
      <w:vertAlign w:val="superscript"/>
    </w:rPr>
  </w:style>
  <w:style w:type="character" w:styleId="789">
    <w:name w:val="footnote reference"/>
    <w:rPr>
      <w:vertAlign w:val="superscript"/>
    </w:rPr>
  </w:style>
  <w:style w:type="character" w:styleId="790">
    <w:name w:val="Endnote Text Char"/>
    <w:link w:val="824"/>
    <w:uiPriority w:val="99"/>
    <w:qFormat/>
    <w:rPr>
      <w:sz w:val="20"/>
    </w:rPr>
  </w:style>
  <w:style w:type="character" w:styleId="791">
    <w:name w:val="Endnote Characters"/>
    <w:basedOn w:val="793"/>
    <w:uiPriority w:val="99"/>
    <w:semiHidden/>
    <w:unhideWhenUsed/>
    <w:qFormat/>
    <w:rPr>
      <w:vertAlign w:val="superscript"/>
    </w:rPr>
  </w:style>
  <w:style w:type="character" w:styleId="792">
    <w:name w:val="endnote reference"/>
    <w:rPr>
      <w:vertAlign w:val="superscript"/>
    </w:rPr>
  </w:style>
  <w:style w:type="character" w:styleId="793" w:default="1">
    <w:name w:val="Default Paragraph Font"/>
    <w:uiPriority w:val="1"/>
    <w:semiHidden/>
    <w:unhideWhenUsed/>
    <w:qFormat/>
  </w:style>
  <w:style w:type="character" w:styleId="794">
    <w:name w:val="page number"/>
    <w:basedOn w:val="793"/>
    <w:qFormat/>
  </w:style>
  <w:style w:type="character" w:styleId="795" w:customStyle="1">
    <w:name w:val="Верхний колонтитул Знак"/>
    <w:basedOn w:val="793"/>
    <w:link w:val="838"/>
    <w:uiPriority w:val="99"/>
    <w:qFormat/>
  </w:style>
  <w:style w:type="character" w:styleId="796" w:customStyle="1">
    <w:name w:val="extended-text__short"/>
    <w:qFormat/>
  </w:style>
  <w:style w:type="character" w:styleId="797">
    <w:name w:val="Hyperlink"/>
    <w:uiPriority w:val="99"/>
    <w:unhideWhenUsed/>
    <w:rPr>
      <w:color w:val="0000ff"/>
      <w:u w:val="single"/>
    </w:rPr>
  </w:style>
  <w:style w:type="character" w:styleId="798" w:customStyle="1">
    <w:name w:val="Нижний колонтитул Знак"/>
    <w:link w:val="842"/>
    <w:uiPriority w:val="99"/>
    <w:qFormat/>
    <w:rPr>
      <w:sz w:val="24"/>
      <w:szCs w:val="24"/>
    </w:rPr>
  </w:style>
  <w:style w:type="character" w:styleId="799" w:customStyle="1">
    <w:name w:val="Font Style25"/>
    <w:uiPriority w:val="99"/>
    <w:qFormat/>
    <w:rPr>
      <w:rFonts w:ascii="Times New Roman" w:hAnsi="Times New Roman" w:cs="Times New Roman"/>
      <w:sz w:val="26"/>
      <w:szCs w:val="26"/>
    </w:rPr>
  </w:style>
  <w:style w:type="character" w:styleId="800" w:customStyle="1">
    <w:name w:val="Основной текст Знак"/>
    <w:uiPriority w:val="99"/>
    <w:qFormat/>
    <w:rPr>
      <w:sz w:val="28"/>
      <w:szCs w:val="24"/>
    </w:rPr>
  </w:style>
  <w:style w:type="character" w:styleId="801" w:customStyle="1">
    <w:name w:val="Основной текст с отступом Знак"/>
    <w:qFormat/>
    <w:rPr>
      <w:sz w:val="28"/>
      <w:szCs w:val="24"/>
    </w:rPr>
  </w:style>
  <w:style w:type="character" w:styleId="802" w:customStyle="1">
    <w:name w:val="s1"/>
    <w:basedOn w:val="793"/>
    <w:qFormat/>
  </w:style>
  <w:style w:type="character" w:styleId="803" w:customStyle="1">
    <w:name w:val="Название Знак"/>
    <w:link w:val="846"/>
    <w:qFormat/>
    <w:rPr>
      <w:sz w:val="28"/>
      <w:szCs w:val="24"/>
    </w:rPr>
  </w:style>
  <w:style w:type="character" w:styleId="804">
    <w:name w:val="Strong"/>
    <w:uiPriority w:val="22"/>
    <w:qFormat/>
    <w:rPr>
      <w:b/>
      <w:bCs/>
    </w:rPr>
  </w:style>
  <w:style w:type="character" w:styleId="805" w:customStyle="1">
    <w:name w:val="Основной текст с отступом 3 Знак"/>
    <w:link w:val="847"/>
    <w:qFormat/>
    <w:rPr>
      <w:sz w:val="16"/>
      <w:szCs w:val="16"/>
    </w:rPr>
  </w:style>
  <w:style w:type="character" w:styleId="806" w:customStyle="1">
    <w:name w:val="Заголовок Знак"/>
    <w:uiPriority w:val="99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807">
    <w:name w:val="annotation reference"/>
    <w:uiPriority w:val="99"/>
    <w:unhideWhenUsed/>
    <w:qFormat/>
    <w:rPr>
      <w:sz w:val="16"/>
      <w:szCs w:val="16"/>
    </w:rPr>
  </w:style>
  <w:style w:type="character" w:styleId="808" w:customStyle="1">
    <w:name w:val="Текст примечания Знак"/>
    <w:basedOn w:val="793"/>
    <w:link w:val="848"/>
    <w:uiPriority w:val="99"/>
    <w:qFormat/>
  </w:style>
  <w:style w:type="character" w:styleId="809" w:customStyle="1">
    <w:name w:val="Тема примечания Знак"/>
    <w:link w:val="849"/>
    <w:uiPriority w:val="99"/>
    <w:qFormat/>
    <w:rPr>
      <w:b/>
      <w:bCs/>
    </w:rPr>
  </w:style>
  <w:style w:type="character" w:styleId="810" w:customStyle="1">
    <w:name w:val="Текст выноски Знак"/>
    <w:link w:val="841"/>
    <w:uiPriority w:val="99"/>
    <w:semiHidden/>
    <w:qFormat/>
    <w:rPr>
      <w:rFonts w:ascii="Tahoma" w:hAnsi="Tahoma" w:cs="Tahoma"/>
      <w:sz w:val="16"/>
      <w:szCs w:val="16"/>
    </w:rPr>
  </w:style>
  <w:style w:type="character" w:styleId="811" w:customStyle="1">
    <w:name w:val="markedcontent"/>
    <w:qFormat/>
  </w:style>
  <w:style w:type="character" w:styleId="812">
    <w:name w:val="Emphasis"/>
    <w:uiPriority w:val="20"/>
    <w:qFormat/>
    <w:rPr>
      <w:i/>
      <w:iCs/>
    </w:rPr>
  </w:style>
  <w:style w:type="paragraph" w:styleId="813">
    <w:name w:val="Heading"/>
    <w:basedOn w:val="761"/>
    <w:next w:val="814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814">
    <w:name w:val="Body Text"/>
    <w:basedOn w:val="761"/>
    <w:link w:val="800"/>
    <w:uiPriority w:val="99"/>
    <w:pPr>
      <w:jc w:val="both"/>
      <w:spacing w:line="360" w:lineRule="auto"/>
    </w:pPr>
    <w:rPr>
      <w:sz w:val="28"/>
    </w:rPr>
  </w:style>
  <w:style w:type="paragraph" w:styleId="815">
    <w:name w:val="List"/>
    <w:basedOn w:val="814"/>
  </w:style>
  <w:style w:type="paragraph" w:styleId="816">
    <w:name w:val="Caption"/>
    <w:basedOn w:val="761"/>
    <w:next w:val="761"/>
    <w:link w:val="7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17">
    <w:name w:val="Index"/>
    <w:basedOn w:val="761"/>
    <w:qFormat/>
    <w:pPr>
      <w:suppressLineNumbers/>
    </w:pPr>
  </w:style>
  <w:style w:type="paragraph" w:styleId="818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ejaVu Sans" w:cs="DejaVu Sans"/>
      <w:color w:val="auto"/>
      <w:sz w:val="20"/>
      <w:szCs w:val="20"/>
      <w:lang w:val="ru-RU" w:eastAsia="ru-RU" w:bidi="ar-SA"/>
    </w:rPr>
  </w:style>
  <w:style w:type="paragraph" w:styleId="819">
    <w:name w:val="Title"/>
    <w:basedOn w:val="761"/>
    <w:next w:val="761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0">
    <w:name w:val="Subtitle"/>
    <w:basedOn w:val="761"/>
    <w:next w:val="761"/>
    <w:link w:val="781"/>
    <w:uiPriority w:val="11"/>
    <w:qFormat/>
    <w:pPr>
      <w:spacing w:before="200" w:after="200"/>
    </w:pPr>
    <w:rPr>
      <w:sz w:val="24"/>
      <w:szCs w:val="24"/>
    </w:rPr>
  </w:style>
  <w:style w:type="paragraph" w:styleId="821">
    <w:name w:val="Quote"/>
    <w:basedOn w:val="761"/>
    <w:next w:val="761"/>
    <w:link w:val="782"/>
    <w:uiPriority w:val="29"/>
    <w:qFormat/>
    <w:pPr>
      <w:ind w:left="720" w:right="720" w:firstLine="0"/>
    </w:pPr>
    <w:rPr>
      <w:i/>
    </w:rPr>
  </w:style>
  <w:style w:type="paragraph" w:styleId="822">
    <w:name w:val="Intense Quote"/>
    <w:basedOn w:val="761"/>
    <w:next w:val="761"/>
    <w:link w:val="783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3">
    <w:name w:val="footnote text"/>
    <w:basedOn w:val="761"/>
    <w:link w:val="78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24">
    <w:name w:val="endnote text"/>
    <w:basedOn w:val="761"/>
    <w:link w:val="79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25">
    <w:name w:val="toc 1"/>
    <w:basedOn w:val="761"/>
    <w:next w:val="761"/>
    <w:uiPriority w:val="39"/>
    <w:unhideWhenUsed/>
    <w:pPr>
      <w:ind w:left="0" w:right="0" w:firstLine="0"/>
      <w:spacing w:before="0" w:after="57"/>
    </w:pPr>
  </w:style>
  <w:style w:type="paragraph" w:styleId="826">
    <w:name w:val="toc 2"/>
    <w:basedOn w:val="761"/>
    <w:next w:val="761"/>
    <w:uiPriority w:val="39"/>
    <w:unhideWhenUsed/>
    <w:pPr>
      <w:ind w:left="283" w:right="0" w:firstLine="0"/>
      <w:spacing w:before="0" w:after="57"/>
    </w:pPr>
  </w:style>
  <w:style w:type="paragraph" w:styleId="827">
    <w:name w:val="toc 3"/>
    <w:basedOn w:val="761"/>
    <w:next w:val="761"/>
    <w:uiPriority w:val="39"/>
    <w:unhideWhenUsed/>
    <w:pPr>
      <w:ind w:left="567" w:right="0" w:firstLine="0"/>
      <w:spacing w:before="0" w:after="57"/>
    </w:pPr>
  </w:style>
  <w:style w:type="paragraph" w:styleId="828">
    <w:name w:val="toc 4"/>
    <w:basedOn w:val="761"/>
    <w:next w:val="761"/>
    <w:uiPriority w:val="39"/>
    <w:unhideWhenUsed/>
    <w:pPr>
      <w:ind w:left="850" w:right="0" w:firstLine="0"/>
      <w:spacing w:before="0" w:after="57"/>
    </w:pPr>
  </w:style>
  <w:style w:type="paragraph" w:styleId="829">
    <w:name w:val="toc 5"/>
    <w:basedOn w:val="761"/>
    <w:next w:val="761"/>
    <w:uiPriority w:val="39"/>
    <w:unhideWhenUsed/>
    <w:pPr>
      <w:ind w:left="1134" w:right="0" w:firstLine="0"/>
      <w:spacing w:before="0" w:after="57"/>
    </w:pPr>
  </w:style>
  <w:style w:type="paragraph" w:styleId="830">
    <w:name w:val="toc 6"/>
    <w:basedOn w:val="761"/>
    <w:next w:val="761"/>
    <w:uiPriority w:val="39"/>
    <w:unhideWhenUsed/>
    <w:pPr>
      <w:ind w:left="1417" w:right="0" w:firstLine="0"/>
      <w:spacing w:before="0" w:after="57"/>
    </w:pPr>
  </w:style>
  <w:style w:type="paragraph" w:styleId="831">
    <w:name w:val="toc 7"/>
    <w:basedOn w:val="761"/>
    <w:next w:val="761"/>
    <w:uiPriority w:val="39"/>
    <w:unhideWhenUsed/>
    <w:pPr>
      <w:ind w:left="1701" w:right="0" w:firstLine="0"/>
      <w:spacing w:before="0" w:after="57"/>
    </w:pPr>
  </w:style>
  <w:style w:type="paragraph" w:styleId="832">
    <w:name w:val="toc 8"/>
    <w:basedOn w:val="761"/>
    <w:next w:val="761"/>
    <w:uiPriority w:val="39"/>
    <w:unhideWhenUsed/>
    <w:pPr>
      <w:ind w:left="1984" w:right="0" w:firstLine="0"/>
      <w:spacing w:before="0" w:after="57"/>
    </w:pPr>
  </w:style>
  <w:style w:type="paragraph" w:styleId="833">
    <w:name w:val="toc 9"/>
    <w:basedOn w:val="761"/>
    <w:next w:val="761"/>
    <w:uiPriority w:val="39"/>
    <w:unhideWhenUsed/>
    <w:pPr>
      <w:ind w:left="2268" w:right="0" w:firstLine="0"/>
      <w:spacing w:before="0" w:after="57"/>
    </w:pPr>
  </w:style>
  <w:style w:type="paragraph" w:styleId="834">
    <w:name w:val="Index Heading"/>
    <w:basedOn w:val="813"/>
  </w:style>
  <w:style w:type="paragraph" w:styleId="835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DejaVu Sans" w:cs="DejaVu Sans"/>
      <w:color w:val="auto"/>
      <w:sz w:val="20"/>
      <w:szCs w:val="20"/>
      <w:lang w:val="ru-RU" w:eastAsia="ru-RU" w:bidi="ar-SA"/>
    </w:rPr>
  </w:style>
  <w:style w:type="paragraph" w:styleId="836">
    <w:name w:val="table of figures"/>
    <w:basedOn w:val="761"/>
    <w:next w:val="761"/>
    <w:uiPriority w:val="99"/>
    <w:unhideWhenUsed/>
    <w:qFormat/>
    <w:pPr>
      <w:spacing w:before="0" w:after="0" w:afterAutospacing="0"/>
    </w:pPr>
  </w:style>
  <w:style w:type="paragraph" w:styleId="837">
    <w:name w:val="Header and Footer"/>
    <w:basedOn w:val="761"/>
    <w:qFormat/>
  </w:style>
  <w:style w:type="paragraph" w:styleId="838">
    <w:name w:val="Header"/>
    <w:basedOn w:val="761"/>
    <w:link w:val="795"/>
    <w:uiPriority w:val="99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39">
    <w:name w:val="Body Text Indent"/>
    <w:basedOn w:val="761"/>
    <w:link w:val="801"/>
    <w:pPr>
      <w:ind w:firstLine="709"/>
    </w:pPr>
    <w:rPr>
      <w:sz w:val="28"/>
    </w:rPr>
  </w:style>
  <w:style w:type="paragraph" w:styleId="840">
    <w:name w:val="Body Text Indent 2"/>
    <w:basedOn w:val="761"/>
    <w:qFormat/>
    <w:pPr>
      <w:ind w:firstLine="720"/>
      <w:jc w:val="both"/>
    </w:pPr>
    <w:rPr>
      <w:sz w:val="28"/>
    </w:rPr>
  </w:style>
  <w:style w:type="paragraph" w:styleId="841">
    <w:name w:val="Balloon Text"/>
    <w:basedOn w:val="761"/>
    <w:link w:val="810"/>
    <w:uiPriority w:val="99"/>
    <w:semiHidden/>
    <w:qFormat/>
    <w:rPr>
      <w:rFonts w:ascii="Tahoma" w:hAnsi="Tahoma" w:cs="Tahoma"/>
      <w:sz w:val="16"/>
      <w:szCs w:val="16"/>
    </w:rPr>
  </w:style>
  <w:style w:type="paragraph" w:styleId="842">
    <w:name w:val="Footer"/>
    <w:basedOn w:val="761"/>
    <w:link w:val="798"/>
    <w:uiPriority w:val="99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43" w:customStyle="1">
    <w:name w:val="Знак"/>
    <w:basedOn w:val="761"/>
    <w:qFormat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844" w:customStyle="1">
    <w:name w:val="Знак Знак Знак1 Знак"/>
    <w:basedOn w:val="761"/>
    <w:qFormat/>
    <w:pPr>
      <w:spacing w:before="0"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845">
    <w:name w:val="List Paragraph"/>
    <w:basedOn w:val="761"/>
    <w:uiPriority w:val="34"/>
    <w:qFormat/>
    <w:pPr>
      <w:ind w:left="720" w:firstLine="0"/>
      <w:spacing w:before="0" w:after="200" w:line="276" w:lineRule="auto"/>
    </w:pPr>
    <w:rPr>
      <w:rFonts w:ascii="Calibri" w:hAnsi="Calibri" w:cs="Calibri"/>
      <w:sz w:val="22"/>
      <w:szCs w:val="22"/>
    </w:rPr>
  </w:style>
  <w:style w:type="paragraph" w:styleId="846" w:customStyle="1">
    <w:name w:val="Название"/>
    <w:basedOn w:val="761"/>
    <w:link w:val="803"/>
    <w:uiPriority w:val="99"/>
    <w:qFormat/>
    <w:pPr>
      <w:jc w:val="center"/>
    </w:pPr>
    <w:rPr>
      <w:sz w:val="28"/>
    </w:rPr>
  </w:style>
  <w:style w:type="paragraph" w:styleId="847">
    <w:name w:val="Body Text Indent 3"/>
    <w:basedOn w:val="761"/>
    <w:link w:val="805"/>
    <w:qFormat/>
    <w:pPr>
      <w:ind w:left="283" w:firstLine="0"/>
      <w:spacing w:before="0" w:after="120"/>
    </w:pPr>
    <w:rPr>
      <w:sz w:val="16"/>
      <w:szCs w:val="16"/>
    </w:rPr>
  </w:style>
  <w:style w:type="paragraph" w:styleId="848">
    <w:name w:val="annotation text"/>
    <w:basedOn w:val="761"/>
    <w:link w:val="808"/>
    <w:uiPriority w:val="99"/>
    <w:unhideWhenUsed/>
    <w:qFormat/>
    <w:rPr>
      <w:sz w:val="20"/>
      <w:szCs w:val="20"/>
    </w:rPr>
  </w:style>
  <w:style w:type="paragraph" w:styleId="849">
    <w:name w:val="annotation subject"/>
    <w:basedOn w:val="848"/>
    <w:next w:val="848"/>
    <w:link w:val="809"/>
    <w:uiPriority w:val="99"/>
    <w:unhideWhenUsed/>
    <w:qFormat/>
    <w:rPr>
      <w:b/>
      <w:bCs/>
    </w:rPr>
  </w:style>
  <w:style w:type="paragraph" w:styleId="850">
    <w:name w:val="Frame Contents"/>
    <w:basedOn w:val="761"/>
    <w:qFormat/>
  </w:style>
  <w:style w:type="numbering" w:styleId="851" w:default="1">
    <w:name w:val="No List"/>
    <w:uiPriority w:val="99"/>
    <w:semiHidden/>
    <w:unhideWhenUsed/>
    <w:qFormat/>
  </w:style>
  <w:style w:type="table" w:styleId="852">
    <w:name w:val="Table Grid"/>
    <w:basedOn w:val="97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Table Grid Light"/>
    <w:basedOn w:val="97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4">
    <w:name w:val="Plain Table 1"/>
    <w:basedOn w:val="97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5">
    <w:name w:val="Plain Table 2"/>
    <w:basedOn w:val="97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6">
    <w:name w:val="Plain Table 3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7">
    <w:name w:val="Plain Table 4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Plain Table 5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9">
    <w:name w:val="Grid Table 1 Light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4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1">
    <w:name w:val="Grid Table 4 - Accent 1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37fc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Grid Table 4 - Accent 2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83">
    <w:name w:val="Grid Table 4 - Accent 3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84">
    <w:name w:val="Grid Table 4 - Accent 4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85">
    <w:name w:val="Grid Table 4 - Accent 5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6">
    <w:name w:val="Grid Table 4 - Accent 6"/>
    <w:basedOn w:val="97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7">
    <w:name w:val="Grid Table 5 Dark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88">
    <w:name w:val="Grid Table 5 Dark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1" w:themeFillTint="75"/>
      </w:tcPr>
    </w:tblStylePr>
    <w:tblStylePr w:type="band1Vert">
      <w:tcPr>
        <w:shd w:val="clear" w:color="ffffff" w:fill="aabfe3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</w:style>
  <w:style w:type="table" w:styleId="889">
    <w:name w:val="Grid Table 5 Dark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91">
    <w:name w:val="Grid Table 5 Dark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92">
    <w:name w:val="Grid Table 5 Dark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5" w:themeFillTint="75"/>
      </w:tcPr>
    </w:tblStylePr>
    <w:tblStylePr w:type="band1Vert">
      <w:tcPr>
        <w:shd w:val="clear" w:color="ffffff" w:fill="b4d2eb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94">
    <w:name w:val="Grid Table 6 Colorful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95">
    <w:name w:val="Grid Table 6 Colorful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9e2f2" w:themeFill="accent1" w:themeFillTint="34"/>
      </w:tcPr>
    </w:tblStylePr>
    <w:tblStylePr w:type="band1Vert">
      <w:tcPr>
        <w:shd w:val="clear" w:color="ffffff" w:fill="d9e2f2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96">
    <w:name w:val="Grid Table 6 Colorful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97">
    <w:name w:val="Grid Table 6 Colorful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98">
    <w:name w:val="Grid Table 6 Colorful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99">
    <w:name w:val="Grid Table 6 Colorful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debf6" w:themeFill="accent5" w:themeFillTint="34"/>
      </w:tcPr>
    </w:tblStylePr>
    <w:tblStylePr w:type="band1Vert">
      <w:tcPr>
        <w:shd w:val="clear" w:color="ffffff" w:fill="ddebf6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900">
    <w:name w:val="Grid Table 6 Colorful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901">
    <w:name w:val="Grid Table 7 Colorful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664a9" w:themeColor="accent1" w:themeTint="80" w:themeShade="95"/>
        <w:sz w:val="22"/>
      </w:rPr>
      <w:tcPr>
        <w:shd w:val="clear" w:color="ffffff" w:fill="d9e2f2" w:themeFill="accent1" w:themeFillTint="34"/>
      </w:tcPr>
    </w:tblStylePr>
    <w:tblStylePr w:type="band1Vert">
      <w:tcPr>
        <w:shd w:val="clear" w:color="ffffff" w:fill="d9e2f2" w:themeFill="accent1" w:themeFillTint="34"/>
      </w:tcPr>
    </w:tblStylePr>
    <w:tblStylePr w:type="band2Horz">
      <w:rPr>
        <w:color w:val="3664a9" w:themeColor="accent1" w:themeTint="80" w:themeShade="95"/>
        <w:sz w:val="22"/>
      </w:rPr>
    </w:tblStylePr>
    <w:tblStylePr w:type="firstCol">
      <w:rPr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664a9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664a9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d8d" w:themeColor="accent5" w:themeShade="95"/>
        <w:sz w:val="22"/>
      </w:rPr>
      <w:tcPr>
        <w:shd w:val="clear" w:color="ffffff" w:fill="ddebf6" w:themeFill="accent5" w:themeFillTint="34"/>
      </w:tcPr>
    </w:tblStylePr>
    <w:tblStylePr w:type="band1Vert">
      <w:tcPr>
        <w:shd w:val="clear" w:color="ffffff" w:fill="ddebf6" w:themeFill="accent5" w:themeFillTint="34"/>
      </w:tcPr>
    </w:tblStylePr>
    <w:tblStylePr w:type="band2Horz">
      <w:rPr>
        <w:color w:val="245d8d" w:themeColor="accent5" w:themeShade="95"/>
        <w:sz w:val="22"/>
      </w:rPr>
    </w:tblStylePr>
    <w:tblStylePr w:type="firstCol">
      <w:rPr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45d8d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d8d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1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2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3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4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5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6"/>
    <w:basedOn w:val="97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16">
    <w:name w:val="List Table 2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17">
    <w:name w:val="List Table 2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18">
    <w:name w:val="List Table 2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19">
    <w:name w:val="List Table 2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20">
    <w:name w:val="List Table 2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21">
    <w:name w:val="List Table 2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22">
    <w:name w:val="List Table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5 Dark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37">
    <w:name w:val="List Table 5 Dark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38">
    <w:name w:val="List Table 5 Dark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39">
    <w:name w:val="List Table 5 Dark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0">
    <w:name w:val="List Table 5 Dark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1">
    <w:name w:val="List Table 5 Dark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cc4e5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2">
    <w:name w:val="List Table 5 Dark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3">
    <w:name w:val="List Table 6 Colorful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44">
    <w:name w:val="List Table 6 Colorful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5">
    <w:name w:val="List Table 6 Colorful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46">
    <w:name w:val="List Table 6 Colorful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47">
    <w:name w:val="List Table 6 Colorful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48">
    <w:name w:val="List Table 6 Colorful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49">
    <w:name w:val="List Table 6 Colorful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50">
    <w:name w:val="List Table 7 Colorful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51">
    <w:name w:val="List Table 7 Colorful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374" w:themeColor="accent1" w:themeShade="95"/>
        <w:sz w:val="22"/>
      </w:rPr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band2Horz">
      <w:rPr>
        <w:color w:val="254374" w:themeColor="accent1" w:themeShade="95"/>
        <w:sz w:val="22"/>
      </w:rPr>
    </w:tblStylePr>
    <w:tblStylePr w:type="firstCol">
      <w:rPr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54374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374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54374" w:themeColor="accent1" w:themeShade="95"/>
        <w:sz w:val="22"/>
      </w:rPr>
    </w:tblStylePr>
  </w:style>
  <w:style w:type="table" w:styleId="952">
    <w:name w:val="List Table 7 Colorful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53">
    <w:name w:val="List Table 7 Colorful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954">
    <w:name w:val="List Table 7 Colorful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55">
    <w:name w:val="List Table 7 Colorful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e78b1" w:themeColor="accent5" w:themeTint="9A" w:themeShade="95"/>
        <w:sz w:val="22"/>
      </w:rPr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band2Horz">
      <w:rPr>
        <w:color w:val="2e78b1" w:themeColor="accent5" w:themeTint="9A" w:themeShade="95"/>
        <w:sz w:val="22"/>
      </w:rPr>
    </w:tblStylePr>
    <w:tblStylePr w:type="firstCol">
      <w:rPr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2e78b1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e78b1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e78b1" w:themeColor="accent5" w:themeTint="9A" w:themeShade="95"/>
        <w:sz w:val="22"/>
      </w:rPr>
    </w:tblStylePr>
  </w:style>
  <w:style w:type="table" w:styleId="956">
    <w:name w:val="List Table 7 Colorful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957">
    <w:name w:val="Lined - Accent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58">
    <w:name w:val="Lined - Accent 1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3d3ec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3d3ec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Row">
      <w:rPr>
        <w:color w:val="f2f2f2"/>
        <w:sz w:val="22"/>
      </w:rPr>
      <w:tcPr>
        <w:shd w:val="clear" w:color="ffffff" w:fill="537fc8" w:themeFill="accent1" w:themeFillTint="EA"/>
      </w:tcPr>
    </w:tblStylePr>
  </w:style>
  <w:style w:type="table" w:styleId="959">
    <w:name w:val="Lined - Accent 2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60">
    <w:name w:val="Lined - Accent 3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61">
    <w:name w:val="Lined - Accent 4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62">
    <w:name w:val="Lined - Accent 5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color w:val="f2f2f2"/>
        <w:sz w:val="22"/>
      </w:rPr>
      <w:tcPr>
        <w:shd w:val="clear" w:color="ffffff" w:fill="5b9bd5" w:themeFill="accent5"/>
      </w:tcPr>
    </w:tblStylePr>
    <w:tblStylePr w:type="firstRow">
      <w:rPr>
        <w:color w:val="f2f2f2"/>
        <w:sz w:val="22"/>
      </w:rPr>
      <w:tcPr>
        <w:shd w:val="clear" w:color="ffffff" w:fill="5b9bd5" w:themeFill="accent5"/>
      </w:tcPr>
    </w:tblStylePr>
    <w:tblStylePr w:type="lastCol">
      <w:rPr>
        <w:color w:val="f2f2f2"/>
        <w:sz w:val="22"/>
      </w:rPr>
      <w:tcPr>
        <w:shd w:val="clear" w:color="ffffff" w:fill="5b9bd5" w:themeFill="accent5"/>
      </w:tcPr>
    </w:tblStylePr>
    <w:tblStylePr w:type="lastRow">
      <w:rPr>
        <w:color w:val="f2f2f2"/>
        <w:sz w:val="22"/>
      </w:rPr>
      <w:tcPr>
        <w:shd w:val="clear" w:color="ffffff" w:fill="5b9bd5" w:themeFill="accent5"/>
      </w:tcPr>
    </w:tblStylePr>
  </w:style>
  <w:style w:type="table" w:styleId="963">
    <w:name w:val="Lined - Accent 6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64">
    <w:name w:val="Bordered &amp; Lined - Accent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65">
    <w:name w:val="Bordered &amp; Lined - Accent 1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3d3ec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3d3ec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Row">
      <w:rPr>
        <w:color w:val="f2f2f2"/>
        <w:sz w:val="22"/>
      </w:rPr>
      <w:tcPr>
        <w:shd w:val="clear" w:color="ffffff" w:fill="537fc8" w:themeFill="accent1" w:themeFillTint="EA"/>
      </w:tcPr>
    </w:tblStylePr>
  </w:style>
  <w:style w:type="table" w:styleId="966">
    <w:name w:val="Bordered &amp; Lined - Accent 2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67">
    <w:name w:val="Bordered &amp; Lined - Accent 3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68">
    <w:name w:val="Bordered &amp; Lined - Accent 4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69">
    <w:name w:val="Bordered &amp; Lined - Accent 5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color w:val="f2f2f2"/>
        <w:sz w:val="22"/>
      </w:rPr>
      <w:tcPr>
        <w:shd w:val="clear" w:color="ffffff" w:fill="5b9bd5" w:themeFill="accent5"/>
      </w:tcPr>
    </w:tblStylePr>
    <w:tblStylePr w:type="firstRow">
      <w:rPr>
        <w:color w:val="f2f2f2"/>
        <w:sz w:val="22"/>
      </w:rPr>
      <w:tcPr>
        <w:shd w:val="clear" w:color="ffffff" w:fill="5b9bd5" w:themeFill="accent5"/>
      </w:tcPr>
    </w:tblStylePr>
    <w:tblStylePr w:type="lastCol">
      <w:rPr>
        <w:color w:val="f2f2f2"/>
        <w:sz w:val="22"/>
      </w:rPr>
      <w:tcPr>
        <w:shd w:val="clear" w:color="ffffff" w:fill="5b9bd5" w:themeFill="accent5"/>
      </w:tcPr>
    </w:tblStylePr>
    <w:tblStylePr w:type="lastRow">
      <w:rPr>
        <w:color w:val="f2f2f2"/>
        <w:sz w:val="22"/>
      </w:rPr>
      <w:tcPr>
        <w:shd w:val="clear" w:color="ffffff" w:fill="5b9bd5" w:themeFill="accent5"/>
      </w:tcPr>
    </w:tblStylePr>
  </w:style>
  <w:style w:type="table" w:styleId="970">
    <w:name w:val="Bordered &amp; Lined - Accent 6"/>
    <w:basedOn w:val="9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71">
    <w:name w:val="Bordered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72">
    <w:name w:val="Bordered - Accent 1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3">
    <w:name w:val="Bordered - Accent 2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74">
    <w:name w:val="Bordered - Accent 3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75">
    <w:name w:val="Bordered - Accent 4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76">
    <w:name w:val="Bordered - Accent 5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77">
    <w:name w:val="Bordered - Accent 6"/>
    <w:basedOn w:val="97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7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10189-AA88-4B3D-9073-F6EC422A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ОАО "Оренбурггеология"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Лицензирование</dc:creator>
  <dc:description/>
  <dc:language>ru-RU</dc:language>
  <cp:lastModifiedBy>lndo</cp:lastModifiedBy>
  <cp:revision>29</cp:revision>
  <dcterms:created xsi:type="dcterms:W3CDTF">2024-05-16T08:02:00Z</dcterms:created>
  <dcterms:modified xsi:type="dcterms:W3CDTF">2026-05-08T07:33:12Z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